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E279A" w14:textId="77777777" w:rsidR="00D30922" w:rsidRPr="00D30922" w:rsidRDefault="00D30922" w:rsidP="00D30922">
      <w:pPr>
        <w:shd w:val="clear" w:color="auto" w:fill="FFFFFF"/>
        <w:spacing w:after="21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МІНІСТЕРСТВО ОСВІТИ І НАУКИ УКРАЇНИ</w:t>
      </w:r>
    </w:p>
    <w:p w14:paraId="63520860" w14:textId="77777777" w:rsidR="00D30922" w:rsidRPr="00D30922" w:rsidRDefault="00D30922" w:rsidP="00D30922">
      <w:pPr>
        <w:shd w:val="clear" w:color="auto" w:fill="FFFFFF"/>
        <w:spacing w:after="21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НАКАЗ</w:t>
      </w:r>
    </w:p>
    <w:p w14:paraId="5D182503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№ 1646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28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грудня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2019 року</w:t>
      </w:r>
    </w:p>
    <w:p w14:paraId="0250D1A4" w14:textId="77777777" w:rsidR="00D30922" w:rsidRPr="00D30922" w:rsidRDefault="00D30922" w:rsidP="00D3092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Зареєстровано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br/>
        <w:t xml:space="preserve">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Міністерстві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юстиції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br/>
        <w:t>03 лютого 2020 р. за № 111/34394</w:t>
      </w:r>
    </w:p>
    <w:p w14:paraId="7187231E" w14:textId="77777777" w:rsidR="00D30922" w:rsidRPr="00D30922" w:rsidRDefault="00D30922" w:rsidP="00D309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Деякі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питання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реагування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br/>
        <w:t xml:space="preserve">на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випадки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)</w:t>
      </w:r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br/>
        <w:t xml:space="preserve">та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застосування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виховного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br/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впливу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в закладах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освіти</w:t>
      </w:r>
      <w:proofErr w:type="spellEnd"/>
    </w:p>
    <w:p w14:paraId="685B2BFC" w14:textId="77777777" w:rsidR="00D30922" w:rsidRPr="00D30922" w:rsidRDefault="00D30922" w:rsidP="00D309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Відповідно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абзацу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дев'ятого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частини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першої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статті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64 </w:t>
      </w:r>
      <w:hyperlink r:id="rId5" w:history="1">
        <w:r w:rsidRPr="00D30922">
          <w:rPr>
            <w:rFonts w:ascii="Arial" w:eastAsia="Times New Roman" w:hAnsi="Arial" w:cs="Arial"/>
            <w:color w:val="8C8282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Закону </w:t>
        </w:r>
        <w:proofErr w:type="spellStart"/>
        <w:r w:rsidRPr="00D30922">
          <w:rPr>
            <w:rFonts w:ascii="Arial" w:eastAsia="Times New Roman" w:hAnsi="Arial" w:cs="Arial"/>
            <w:color w:val="8C8282"/>
            <w:sz w:val="21"/>
            <w:szCs w:val="21"/>
            <w:u w:val="single"/>
            <w:bdr w:val="none" w:sz="0" w:space="0" w:color="auto" w:frame="1"/>
            <w:lang w:val="ru-UA" w:eastAsia="ru-UA"/>
          </w:rPr>
          <w:t>України</w:t>
        </w:r>
        <w:proofErr w:type="spellEnd"/>
        <w:r w:rsidRPr="00D30922">
          <w:rPr>
            <w:rFonts w:ascii="Arial" w:eastAsia="Times New Roman" w:hAnsi="Arial" w:cs="Arial"/>
            <w:color w:val="8C8282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 "Про </w:t>
        </w:r>
        <w:proofErr w:type="spellStart"/>
        <w:r w:rsidRPr="00D30922">
          <w:rPr>
            <w:rFonts w:ascii="Arial" w:eastAsia="Times New Roman" w:hAnsi="Arial" w:cs="Arial"/>
            <w:color w:val="8C8282"/>
            <w:sz w:val="21"/>
            <w:szCs w:val="21"/>
            <w:u w:val="single"/>
            <w:bdr w:val="none" w:sz="0" w:space="0" w:color="auto" w:frame="1"/>
            <w:lang w:val="ru-UA" w:eastAsia="ru-UA"/>
          </w:rPr>
          <w:t>освіту</w:t>
        </w:r>
        <w:proofErr w:type="spellEnd"/>
        <w:r w:rsidRPr="00D30922">
          <w:rPr>
            <w:rFonts w:ascii="Arial" w:eastAsia="Times New Roman" w:hAnsi="Arial" w:cs="Arial"/>
            <w:color w:val="8C8282"/>
            <w:sz w:val="21"/>
            <w:szCs w:val="21"/>
            <w:u w:val="single"/>
            <w:bdr w:val="none" w:sz="0" w:space="0" w:color="auto" w:frame="1"/>
            <w:lang w:val="ru-UA" w:eastAsia="ru-UA"/>
          </w:rPr>
          <w:t>"</w:t>
        </w:r>
      </w:hyperlink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згідно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пунктом 8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Положення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Міністерство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і науки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затвердженого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постановою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Кабінету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Міністрів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16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жовтня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2014 року </w:t>
      </w:r>
      <w:hyperlink r:id="rId6" w:history="1">
        <w:r w:rsidRPr="00D30922">
          <w:rPr>
            <w:rFonts w:ascii="Arial" w:eastAsia="Times New Roman" w:hAnsi="Arial" w:cs="Arial"/>
            <w:color w:val="8C8282"/>
            <w:sz w:val="21"/>
            <w:szCs w:val="21"/>
            <w:u w:val="single"/>
            <w:bdr w:val="none" w:sz="0" w:space="0" w:color="auto" w:frame="1"/>
            <w:lang w:val="ru-UA" w:eastAsia="ru-UA"/>
          </w:rPr>
          <w:t>№ 630</w:t>
        </w:r>
      </w:hyperlink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 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із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змінами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з метою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створення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безпечного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середовища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закладах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НАКАЗУЮ:</w:t>
      </w:r>
    </w:p>
    <w:p w14:paraId="0CB35DA8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1.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Затвердити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такі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додаються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:</w:t>
      </w:r>
    </w:p>
    <w:p w14:paraId="581CBA37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1) Порядок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реагування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);</w:t>
      </w:r>
    </w:p>
    <w:p w14:paraId="6120B50F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2) Порядок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застосування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виховного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впливу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3ECEDB90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2. Директорату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інклюзивної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позашкільної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Хіврич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В. В.)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забезпечити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наказу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установленому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законодавством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порядку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державну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реєстрацію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Міністерства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юстиції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20C9F85C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3.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наказ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набирає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чинності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дня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його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офіційного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опублікування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7F499B1D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4. Контроль за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виконанням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наказу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покласти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заступника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Міністра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Мандзій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Л. С.</w:t>
      </w:r>
    </w:p>
    <w:p w14:paraId="45D0A27E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Міністр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                     Г.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Новосад</w:t>
      </w:r>
      <w:proofErr w:type="spellEnd"/>
    </w:p>
    <w:p w14:paraId="6FF69875" w14:textId="77777777" w:rsidR="00D30922" w:rsidRPr="00D30922" w:rsidRDefault="00D30922" w:rsidP="00D309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ПОГОДЖЕНО:</w:t>
      </w: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br/>
        <w:t xml:space="preserve">В. о.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Виконавчого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директора</w:t>
      </w: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br/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Асоціації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міст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                   В. В. Сидоренко</w:t>
      </w:r>
    </w:p>
    <w:p w14:paraId="6243B4CA" w14:textId="77777777" w:rsidR="00D30922" w:rsidRPr="00D30922" w:rsidRDefault="00D30922" w:rsidP="00D309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Уповноважений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Президента</w:t>
      </w: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br/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прав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дитини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                 М.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Кулеба</w:t>
      </w:r>
      <w:proofErr w:type="spellEnd"/>
    </w:p>
    <w:p w14:paraId="5A7BA5FD" w14:textId="77777777" w:rsidR="00D30922" w:rsidRPr="00D30922" w:rsidRDefault="00D30922" w:rsidP="00D309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Керівник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Секретаріату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br/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Уповноваженого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Верховної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br/>
        <w:t xml:space="preserve">Ради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прав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людини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                Л.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Левшун</w:t>
      </w:r>
      <w:proofErr w:type="spellEnd"/>
    </w:p>
    <w:p w14:paraId="549BB75F" w14:textId="77777777" w:rsidR="00D30922" w:rsidRPr="00D30922" w:rsidRDefault="00D30922" w:rsidP="00D309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Голова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Національної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br/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поліції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                           І. Клименко</w:t>
      </w:r>
    </w:p>
    <w:p w14:paraId="74D696E4" w14:textId="77777777" w:rsidR="00D30922" w:rsidRPr="00D30922" w:rsidRDefault="00D30922" w:rsidP="00D309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Міністр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культури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молоді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br/>
        <w:t xml:space="preserve">та спорту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                           В.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Бородянський</w:t>
      </w:r>
      <w:proofErr w:type="spellEnd"/>
    </w:p>
    <w:p w14:paraId="6767B1CC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Міністр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внутрішніх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справ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                         А. Аваков</w:t>
      </w:r>
    </w:p>
    <w:p w14:paraId="101CBA73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Міністр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охорони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здоров'я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                        З.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Скалецька</w:t>
      </w:r>
      <w:proofErr w:type="spellEnd"/>
    </w:p>
    <w:p w14:paraId="3929915D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Міністр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політики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                              Ю.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Соколовська</w:t>
      </w:r>
      <w:proofErr w:type="spellEnd"/>
    </w:p>
    <w:p w14:paraId="0ABA707C" w14:textId="77777777" w:rsidR="00D30922" w:rsidRPr="00D30922" w:rsidRDefault="00D30922" w:rsidP="00D3092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ЗАТВЕРДЖЕНО</w:t>
      </w: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br/>
        <w:t xml:space="preserve">Наказ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Міністерства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і науки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br/>
        <w:t xml:space="preserve">28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грудня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2019 року № 1646</w:t>
      </w:r>
    </w:p>
    <w:p w14:paraId="0102D9A4" w14:textId="77777777" w:rsidR="00D30922" w:rsidRDefault="00D30922" w:rsidP="00D3092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Зареєстровано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br/>
        <w:t xml:space="preserve">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Міністерстві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юстиції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br/>
      </w:r>
    </w:p>
    <w:p w14:paraId="49509C64" w14:textId="77777777" w:rsidR="00D30922" w:rsidRDefault="00D30922" w:rsidP="00D3092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</w:p>
    <w:p w14:paraId="2D79F467" w14:textId="6564063F" w:rsidR="00D30922" w:rsidRPr="00D30922" w:rsidRDefault="00D30922" w:rsidP="00D3092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03 лютого 2020 р. за № 111/34394</w:t>
      </w:r>
    </w:p>
    <w:p w14:paraId="108F5916" w14:textId="77777777" w:rsidR="00D30922" w:rsidRDefault="00D30922" w:rsidP="00D309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</w:pPr>
    </w:p>
    <w:p w14:paraId="0B861738" w14:textId="77777777" w:rsidR="00D30922" w:rsidRDefault="00D30922" w:rsidP="00D309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</w:pPr>
    </w:p>
    <w:p w14:paraId="3AA1E577" w14:textId="66595105" w:rsidR="00D30922" w:rsidRPr="00D30922" w:rsidRDefault="00D30922" w:rsidP="00D309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lastRenderedPageBreak/>
        <w:t>ПОРЯДОК</w:t>
      </w:r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br/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реагування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випадки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)</w:t>
      </w:r>
    </w:p>
    <w:p w14:paraId="6FECDC18" w14:textId="77777777" w:rsidR="00D30922" w:rsidRPr="00D30922" w:rsidRDefault="00D30922" w:rsidP="00D309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I.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Загальні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положення</w:t>
      </w:r>
      <w:proofErr w:type="spellEnd"/>
    </w:p>
    <w:p w14:paraId="6CC48B10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1.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Порядок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визначає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механізм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реагування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закладах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всіх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типів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і форм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власності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крім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тих,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забезпечують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здобуття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дорослих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у тому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числі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післядипломної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4B17D8E0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2.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Терміни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використані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цьому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Порядку,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вживаються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таких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значеннях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:</w:t>
      </w:r>
    </w:p>
    <w:p w14:paraId="6CE7F126" w14:textId="77777777" w:rsidR="00D30922" w:rsidRPr="00D30922" w:rsidRDefault="00D30922" w:rsidP="00D30922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кривдник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булер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-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в тому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числі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малолітня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неповнолітня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особа, яка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вчиняє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щодо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191B2E9A" w14:textId="77777777" w:rsidR="00D30922" w:rsidRPr="00D30922" w:rsidRDefault="00D30922" w:rsidP="00D30922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потерпілий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(жертва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-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в тому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числі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малолітня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неповнолітня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особа,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щодо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вчинено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);</w:t>
      </w:r>
    </w:p>
    <w:p w14:paraId="42D77DB9" w14:textId="77777777" w:rsidR="00D30922" w:rsidRPr="00D30922" w:rsidRDefault="00D30922" w:rsidP="00D30922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спостерігачі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-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свідки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безпосередні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очевидці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);</w:t>
      </w:r>
    </w:p>
    <w:p w14:paraId="5FFEE963" w14:textId="77777777" w:rsidR="00D30922" w:rsidRPr="00D30922" w:rsidRDefault="00D30922" w:rsidP="00D30922">
      <w:pPr>
        <w:numPr>
          <w:ilvl w:val="0"/>
          <w:numId w:val="1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сторони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-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безпосередні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: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кривдник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булер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потерпілий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(жертва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спостерігачі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(за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наявності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).</w:t>
      </w:r>
    </w:p>
    <w:p w14:paraId="514C6A3C" w14:textId="77777777" w:rsidR="00D30922" w:rsidRPr="00D30922" w:rsidRDefault="00D30922" w:rsidP="00D309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терміни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вживаються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значеннях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наведених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 </w:t>
      </w:r>
      <w:hyperlink r:id="rId7" w:history="1">
        <w:r w:rsidRPr="00D30922">
          <w:rPr>
            <w:rFonts w:ascii="Arial" w:eastAsia="Times New Roman" w:hAnsi="Arial" w:cs="Arial"/>
            <w:color w:val="8C8282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Законах </w:t>
        </w:r>
        <w:proofErr w:type="spellStart"/>
        <w:r w:rsidRPr="00D30922">
          <w:rPr>
            <w:rFonts w:ascii="Arial" w:eastAsia="Times New Roman" w:hAnsi="Arial" w:cs="Arial"/>
            <w:color w:val="8C8282"/>
            <w:sz w:val="21"/>
            <w:szCs w:val="21"/>
            <w:u w:val="single"/>
            <w:bdr w:val="none" w:sz="0" w:space="0" w:color="auto" w:frame="1"/>
            <w:lang w:val="ru-UA" w:eastAsia="ru-UA"/>
          </w:rPr>
          <w:t>України</w:t>
        </w:r>
        <w:proofErr w:type="spellEnd"/>
        <w:r w:rsidRPr="00D30922">
          <w:rPr>
            <w:rFonts w:ascii="Arial" w:eastAsia="Times New Roman" w:hAnsi="Arial" w:cs="Arial"/>
            <w:color w:val="8C8282"/>
            <w:sz w:val="21"/>
            <w:szCs w:val="21"/>
            <w:u w:val="single"/>
            <w:bdr w:val="none" w:sz="0" w:space="0" w:color="auto" w:frame="1"/>
            <w:lang w:val="ru-UA" w:eastAsia="ru-UA"/>
          </w:rPr>
          <w:t xml:space="preserve"> "Про </w:t>
        </w:r>
        <w:proofErr w:type="spellStart"/>
        <w:r w:rsidRPr="00D30922">
          <w:rPr>
            <w:rFonts w:ascii="Arial" w:eastAsia="Times New Roman" w:hAnsi="Arial" w:cs="Arial"/>
            <w:color w:val="8C8282"/>
            <w:sz w:val="21"/>
            <w:szCs w:val="21"/>
            <w:u w:val="single"/>
            <w:bdr w:val="none" w:sz="0" w:space="0" w:color="auto" w:frame="1"/>
            <w:lang w:val="ru-UA" w:eastAsia="ru-UA"/>
          </w:rPr>
          <w:t>освіту</w:t>
        </w:r>
        <w:proofErr w:type="spellEnd"/>
        <w:r w:rsidRPr="00D30922">
          <w:rPr>
            <w:rFonts w:ascii="Arial" w:eastAsia="Times New Roman" w:hAnsi="Arial" w:cs="Arial"/>
            <w:color w:val="8C8282"/>
            <w:sz w:val="21"/>
            <w:szCs w:val="21"/>
            <w:u w:val="single"/>
            <w:bdr w:val="none" w:sz="0" w:space="0" w:color="auto" w:frame="1"/>
            <w:lang w:val="ru-UA" w:eastAsia="ru-UA"/>
          </w:rPr>
          <w:t>"</w:t>
        </w:r>
      </w:hyperlink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"Про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послуги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", "Про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роботу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сім'ями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дітьми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молоддю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", "Про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забезпечення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рівних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прав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можливостей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жінок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і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чоловіків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", "Про засади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запобігання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протидії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дискримінації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".</w:t>
      </w:r>
    </w:p>
    <w:p w14:paraId="7B944F84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3.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Проявами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можуть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бути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підставами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підозри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наявності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, є:</w:t>
      </w:r>
    </w:p>
    <w:p w14:paraId="03BB855A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замкнутість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тривожність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страх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навпаки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демонстрація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відсутності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страху,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ризикована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зухвала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поведінка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4BF76DB0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неврівноважена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поведінка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6E37E847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агресивність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напади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люті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схильність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руйнації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нищення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насильства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71D6E8D8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різка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зміна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звичної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дитини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поведінки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5CAFACD0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уповільнене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мислення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знижена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здатність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навчання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5A859BA0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відлюдкуватість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уникнення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спілкування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52B030D3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ізоляція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виключення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групи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небажання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спілкуватися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4C4DF77A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занижена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самооцінка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наявність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почуття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провини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661BE194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поява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швидкої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втомлюваності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зниженої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спроможності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концентрації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уваги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56A9D7EF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демонстрація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страху перед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появою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4CCDDE9D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схильність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пропуску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навчальних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занять;</w:t>
      </w:r>
    </w:p>
    <w:p w14:paraId="10E2115E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відмова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відвідувати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посиланням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погане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самопочуття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4BC0FEF1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депресивні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стани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46013B71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аутоагресія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самоушкодження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);</w:t>
      </w:r>
    </w:p>
    <w:p w14:paraId="38523A5D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суїцидальні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прояви;</w:t>
      </w:r>
    </w:p>
    <w:p w14:paraId="4595D33B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явні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фізичні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ушкодження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ознаки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поганого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самопочуття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нудота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головний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біль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кволість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тощо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);</w:t>
      </w:r>
    </w:p>
    <w:p w14:paraId="1FD56949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намагання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приховати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травми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обставини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отримання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5934C9BE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скарги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дитини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біль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погане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самопочуття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;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пошкодження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зникнення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особистих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речей;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вимагання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особистих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речей,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їжі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грошей; жести,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висловлювання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прізвиська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жарти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погрози,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поширення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чуток сексуального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інтимного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характеру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відомостей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особа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бажає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зберегти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таємниці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592C6F04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lastRenderedPageBreak/>
        <w:t>наявність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фото-,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відео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-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аудіоматеріалів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фізичних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психологічних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знущань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, сексуального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інтимного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змісту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18ABC2FF" w14:textId="77777777" w:rsidR="00D30922" w:rsidRPr="00D30922" w:rsidRDefault="00D30922" w:rsidP="00D30922">
      <w:pPr>
        <w:numPr>
          <w:ilvl w:val="0"/>
          <w:numId w:val="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наявні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пошкодження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зникнення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майна та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особистих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речей.</w:t>
      </w:r>
    </w:p>
    <w:p w14:paraId="1064829D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4.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закладах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належать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відбуваються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безпосередньо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приміщенні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прилеглих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територіях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включно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навчальними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приміщеннями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приміщеннями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для занять спортом,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проведення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коридорами,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роздягальнями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вбиральнями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душовими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кімнатами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їдальнею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тощо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 та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за межами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час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передбачених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програмою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планом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роботи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освітніх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організовуються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згодою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керівника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в тому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числі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дорогою до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із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7AF36991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Ознаками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є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систематичне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вчинення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учасниками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діянь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стосовно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малолітньої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неповнолітньої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особи та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такою особою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стосовно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в тому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числі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із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застосуванням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засобів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електронних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комунікацій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саме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:</w:t>
      </w:r>
    </w:p>
    <w:p w14:paraId="6725EA24" w14:textId="77777777" w:rsidR="00D30922" w:rsidRPr="00D30922" w:rsidRDefault="00D30922" w:rsidP="00D30922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умисне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позбавлення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їжі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одягу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коштів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документів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майна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можливості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користуватися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ними,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перешкоджання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отриманні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освітніх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послуг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примушування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праці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правопорушення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економічного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характеру;</w:t>
      </w:r>
    </w:p>
    <w:p w14:paraId="34945AB2" w14:textId="77777777" w:rsidR="00D30922" w:rsidRPr="00D30922" w:rsidRDefault="00D30922" w:rsidP="00D30922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словесні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образи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погрози, у тому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числі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щодо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третіх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осіб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приниження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переслідування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залякування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діяння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спрямовані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обмеження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волевиявлення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особи;</w:t>
      </w:r>
    </w:p>
    <w:p w14:paraId="3A681C8E" w14:textId="77777777" w:rsidR="00D30922" w:rsidRPr="00D30922" w:rsidRDefault="00D30922" w:rsidP="00D30922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будь-яка форма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небажаної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вербальної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невербальної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фізичної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поведінки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сексуального характеру,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зокрема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принизливі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погляди, жести,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образливі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рухи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тіла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прізвиська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образи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жарти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погрози,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поширення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образливих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чуток;</w:t>
      </w:r>
    </w:p>
    <w:p w14:paraId="471C4EC6" w14:textId="77777777" w:rsidR="00D30922" w:rsidRPr="00D30922" w:rsidRDefault="00D30922" w:rsidP="00D30922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будь-яка форма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небажаної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фізичної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поведінки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зокрема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ляпаси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стусани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штовхання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щипання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шмагання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кусання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завдання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ударів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2406DDF2" w14:textId="77777777" w:rsidR="00D30922" w:rsidRPr="00D30922" w:rsidRDefault="00D30922" w:rsidP="00D30922">
      <w:pPr>
        <w:numPr>
          <w:ilvl w:val="0"/>
          <w:numId w:val="3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правопорушення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насильницького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характеру.</w:t>
      </w:r>
    </w:p>
    <w:p w14:paraId="367D427D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5.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Суб'єктами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реагування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разі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настання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закладах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далі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-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суб'єкти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реагування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 є:</w:t>
      </w:r>
    </w:p>
    <w:p w14:paraId="7E6C8A60" w14:textId="77777777" w:rsidR="00D30922" w:rsidRPr="00D30922" w:rsidRDefault="00D30922" w:rsidP="00D30922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служба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омбудсмена;</w:t>
      </w:r>
    </w:p>
    <w:p w14:paraId="25058454" w14:textId="77777777" w:rsidR="00D30922" w:rsidRPr="00D30922" w:rsidRDefault="00D30922" w:rsidP="00D30922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служби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справах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дітей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5FB2634E" w14:textId="77777777" w:rsidR="00D30922" w:rsidRPr="00D30922" w:rsidRDefault="00D30922" w:rsidP="00D30922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центри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служб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сім'ї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дітей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молоді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59988A8A" w14:textId="77777777" w:rsidR="00D30922" w:rsidRPr="00D30922" w:rsidRDefault="00D30922" w:rsidP="00D30922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органи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місцевого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самоврядування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4C07BCDA" w14:textId="77777777" w:rsidR="00D30922" w:rsidRPr="00D30922" w:rsidRDefault="00D30922" w:rsidP="00D30922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керівники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працівники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5FE4E68A" w14:textId="77777777" w:rsidR="00D30922" w:rsidRPr="00D30922" w:rsidRDefault="00D30922" w:rsidP="00D30922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засновник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засновники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уповноважений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ним (ними) орган;</w:t>
      </w:r>
    </w:p>
    <w:p w14:paraId="6B6D12D3" w14:textId="77777777" w:rsidR="00D30922" w:rsidRPr="00D30922" w:rsidRDefault="00D30922" w:rsidP="00D30922">
      <w:pPr>
        <w:numPr>
          <w:ilvl w:val="0"/>
          <w:numId w:val="4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територіальні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органи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підрозділи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Національної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поліції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5278088F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Суб'єкти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реагування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закладах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діють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межах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повноважень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передбачених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законодавством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цим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Порядком.</w:t>
      </w:r>
    </w:p>
    <w:p w14:paraId="61ED42F8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6.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Суб'єкти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реагування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здійснюють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заходи,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спрямовані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запобігання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протидію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закладах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згідно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Планом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спрямованих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запобігання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протидію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закладах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затвердженим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центральним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органом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виконавчої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влади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сфері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і науки.</w:t>
      </w:r>
    </w:p>
    <w:p w14:paraId="662F08F2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7.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Педагогічні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науково-педагогічні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працівники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разі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вони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виявляють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зобов'язані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:</w:t>
      </w:r>
    </w:p>
    <w:p w14:paraId="3577187C" w14:textId="77777777" w:rsidR="00D30922" w:rsidRPr="00D30922" w:rsidRDefault="00D30922" w:rsidP="00D30922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вжити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невідкладних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припинення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небезпечного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впливу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34F32E74" w14:textId="77777777" w:rsidR="00D30922" w:rsidRPr="00D30922" w:rsidRDefault="00D30922" w:rsidP="00D30922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за потреби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надати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домедичну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допомогу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викликати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бригаду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екстреної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швидкої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медичної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допомоги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екстреної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медичної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допомоги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7049F712" w14:textId="77777777" w:rsidR="00D30922" w:rsidRPr="00D30922" w:rsidRDefault="00D30922" w:rsidP="00D30922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lastRenderedPageBreak/>
        <w:t>звернутись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(за потреби)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територіальних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органів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підрозділів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Національної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поліції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6098730F" w14:textId="77777777" w:rsidR="00D30922" w:rsidRPr="00D30922" w:rsidRDefault="00D30922" w:rsidP="00D30922">
      <w:pPr>
        <w:numPr>
          <w:ilvl w:val="0"/>
          <w:numId w:val="5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повідомити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керівника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принаймні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одного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батьків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законних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представників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малолітньої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неповнолітньої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особи, яка стала стороною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).</w:t>
      </w:r>
    </w:p>
    <w:p w14:paraId="5382FAAA" w14:textId="77777777" w:rsidR="00D30922" w:rsidRPr="00D30922" w:rsidRDefault="00D30922" w:rsidP="00D309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II.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Подання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заяв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повідомлень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про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випадки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) в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освіти</w:t>
      </w:r>
      <w:proofErr w:type="spellEnd"/>
    </w:p>
    <w:p w14:paraId="62D71B08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1.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можуть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повідомити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випадок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стороною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вони стали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підозрюють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його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вчинення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стосовно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малолітньої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неповнолітньої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особи та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такою особою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стосовно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який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отримали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достовірну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інформацію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керівника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суб'єктів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реагування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закладах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7134E27C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заяви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повідомлення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випадок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підозру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щодо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його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вчинення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приймає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керівник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закладу.</w:t>
      </w:r>
    </w:p>
    <w:p w14:paraId="14E1B46C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Повідомлення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можуть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бути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усній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письмовій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формі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в тому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числі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із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застосуванням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засобів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електронної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комунікації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31D35300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2.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Керівник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разі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отримання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заяви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повідомлення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випадок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):</w:t>
      </w:r>
    </w:p>
    <w:p w14:paraId="1323F095" w14:textId="77777777" w:rsidR="00D30922" w:rsidRPr="00D30922" w:rsidRDefault="00D30922" w:rsidP="00D30922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невідкладно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строк,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не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перевищує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однієї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доби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повідомляє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територіальний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орган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підрозділ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Національної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поліції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принаймні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одного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батьків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законних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представників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малолітньої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неповнолітньої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особи, яка стала стороною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);</w:t>
      </w:r>
    </w:p>
    <w:p w14:paraId="64D145D7" w14:textId="77777777" w:rsidR="00D30922" w:rsidRPr="00D30922" w:rsidRDefault="00D30922" w:rsidP="00D30922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за потреби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викликає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бригаду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екстреної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швидкої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медичної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допомоги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екстреної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медичної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допомоги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4B712E68" w14:textId="77777777" w:rsidR="00D30922" w:rsidRPr="00D30922" w:rsidRDefault="00D30922" w:rsidP="00D30922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повідомляє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службу у справах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дітей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метою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вирішення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питання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щодо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захисту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малолітньої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неповнолітньої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особи, яка стала стороною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з'ясування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причин,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призвели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вжиття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усунення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таких причин;</w:t>
      </w:r>
    </w:p>
    <w:p w14:paraId="500E3BCC" w14:textId="77777777" w:rsidR="00D30922" w:rsidRPr="00D30922" w:rsidRDefault="00D30922" w:rsidP="00D30922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повідомляє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центр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служб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сім'ї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дітей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молоді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метою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здійснення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оцінки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потреб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сторін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визначення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послуг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методів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роботи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забезпечення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психологічної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підтримки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послуг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4D18F027" w14:textId="77777777" w:rsidR="00D30922" w:rsidRPr="00D30922" w:rsidRDefault="00D30922" w:rsidP="00D30922">
      <w:pPr>
        <w:numPr>
          <w:ilvl w:val="0"/>
          <w:numId w:val="6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скликає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розгляду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далі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-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не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пізніше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ніж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упродовж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трьох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робочих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днів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дня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отримання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заяви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повідомлення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50C1E959" w14:textId="77777777" w:rsidR="00D30922" w:rsidRPr="00D30922" w:rsidRDefault="00D30922" w:rsidP="00D309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III. Склад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, права та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обов'язки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її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членів</w:t>
      </w:r>
      <w:proofErr w:type="spellEnd"/>
    </w:p>
    <w:p w14:paraId="3A21EBBA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1. Склад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затверджує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наказом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керівник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425D03BB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виконує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свої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обов'язки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постійній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основі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0564E984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2. Склад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формується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урахуванням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основних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завдань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0B5F127F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складається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голови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заступника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голови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секретаря та не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менше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ніж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п'яти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членів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595545B0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До складу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входять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педагогічні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науково-педагогічні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працівники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у тому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числі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практичний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психолог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соціальний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педагог (за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наявності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представники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служби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справах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дітей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центру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служб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сім'ї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дітей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молоді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375F4994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згодою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залучаються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батьки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законні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представники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малолітніх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неповнолітніх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сторін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також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можуть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залучатися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сторони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представники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суб'єктів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реагування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закладах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5D968808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3. Головою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є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керівник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72ED8FDE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Голова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організовує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роботу і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відповідає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виконання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покладених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завдань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головує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засіданнях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визначає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перелік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питань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підлягають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розгляду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1EB5263F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lastRenderedPageBreak/>
        <w:t xml:space="preserve">Голова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визначає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функціональні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обов'язки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кожного члена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.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разі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відсутності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голови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його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обов'язки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виконує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заступник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голови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2688F643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разі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відсутності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голови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заступника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голови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обов'язки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голови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виконує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один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із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членів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який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обирається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комісією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поданням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секретаря.</w:t>
      </w:r>
    </w:p>
    <w:p w14:paraId="6F5C24BB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разі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відсутності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секретаря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його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обов'язки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виконує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один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із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членів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який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обирається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поданням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голови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заступника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голови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3CFA0335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4.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Секретар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забезпечує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підготовку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проведення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матеріалів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підлягають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розгляду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засіданнях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ведення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протоколу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5E59EA09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5. Член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право:</w:t>
      </w:r>
    </w:p>
    <w:p w14:paraId="3A7436AF" w14:textId="77777777" w:rsidR="00D30922" w:rsidRPr="00D30922" w:rsidRDefault="00D30922" w:rsidP="00D30922">
      <w:pPr>
        <w:numPr>
          <w:ilvl w:val="0"/>
          <w:numId w:val="7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ознайомлюватися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матеріалами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стосуються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брати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участь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перевірці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1762A221" w14:textId="77777777" w:rsidR="00D30922" w:rsidRPr="00D30922" w:rsidRDefault="00D30922" w:rsidP="00D30922">
      <w:pPr>
        <w:numPr>
          <w:ilvl w:val="0"/>
          <w:numId w:val="7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подавати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пропозиції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висловлювати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власну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думку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питань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розглядаються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3DF29B90" w14:textId="77777777" w:rsidR="00D30922" w:rsidRPr="00D30922" w:rsidRDefault="00D30922" w:rsidP="00D30922">
      <w:pPr>
        <w:numPr>
          <w:ilvl w:val="0"/>
          <w:numId w:val="7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брати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участь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прийнятті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рішення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шляхом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голосування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1F46B968" w14:textId="77777777" w:rsidR="00D30922" w:rsidRPr="00D30922" w:rsidRDefault="00D30922" w:rsidP="00D30922">
      <w:pPr>
        <w:numPr>
          <w:ilvl w:val="0"/>
          <w:numId w:val="7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висловлювати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окрему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думку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усно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письмово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7743994E" w14:textId="77777777" w:rsidR="00D30922" w:rsidRPr="00D30922" w:rsidRDefault="00D30922" w:rsidP="00D30922">
      <w:pPr>
        <w:numPr>
          <w:ilvl w:val="0"/>
          <w:numId w:val="7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вносити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пропозиції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порядку денного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775D2CF5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6. Член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зобов'язаний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:</w:t>
      </w:r>
    </w:p>
    <w:p w14:paraId="4C92BB4C" w14:textId="77777777" w:rsidR="00D30922" w:rsidRPr="00D30922" w:rsidRDefault="00D30922" w:rsidP="00D30922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особисто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брати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участь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роботі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34283C09" w14:textId="77777777" w:rsidR="00D30922" w:rsidRPr="00D30922" w:rsidRDefault="00D30922" w:rsidP="00D30922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не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розголошувати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стороннім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особам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відомості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стали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йому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відомі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зв'язку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участю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роботі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і не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використовувати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своїх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інтересах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інтересах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третіх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осіб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0693EE8E" w14:textId="77777777" w:rsidR="00D30922" w:rsidRPr="00D30922" w:rsidRDefault="00D30922" w:rsidP="00D30922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виконувати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межах,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передбачених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законодавством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посадовими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обов'язками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доручення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голови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7433636C" w14:textId="77777777" w:rsidR="00D30922" w:rsidRPr="00D30922" w:rsidRDefault="00D30922" w:rsidP="00D30922">
      <w:pPr>
        <w:numPr>
          <w:ilvl w:val="0"/>
          <w:numId w:val="8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брати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участь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голосуванні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727A1C05" w14:textId="77777777" w:rsidR="00D30922" w:rsidRPr="00D30922" w:rsidRDefault="00D30922" w:rsidP="00D309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IV. Порядок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роботи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комісії</w:t>
      </w:r>
      <w:proofErr w:type="spellEnd"/>
    </w:p>
    <w:p w14:paraId="5191DA56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1. Метою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діяльності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є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припинення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;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відновлення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нормалізація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стосунків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створення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сприятливих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умов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подальшого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здобуття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групі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класі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де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стався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випадок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);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з'ясування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причин,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призвели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вжиття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усунення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таких причин;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оцінка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потреб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сторін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психолого-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педагогічних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послугах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забезпечення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таких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послуг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6371EC15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2.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Діяльність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здійснюється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принципах:</w:t>
      </w:r>
    </w:p>
    <w:p w14:paraId="247ACF7A" w14:textId="77777777" w:rsidR="00D30922" w:rsidRPr="00D30922" w:rsidRDefault="00D30922" w:rsidP="00D30922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законності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167639BD" w14:textId="77777777" w:rsidR="00D30922" w:rsidRPr="00D30922" w:rsidRDefault="00D30922" w:rsidP="00D30922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верховенства права;</w:t>
      </w:r>
    </w:p>
    <w:p w14:paraId="5091C6E6" w14:textId="77777777" w:rsidR="00D30922" w:rsidRPr="00D30922" w:rsidRDefault="00D30922" w:rsidP="00D30922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поваги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дотримання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прав і свобод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людини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03884B16" w14:textId="77777777" w:rsidR="00D30922" w:rsidRPr="00D30922" w:rsidRDefault="00D30922" w:rsidP="00D30922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неупередженого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ставлення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сторін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);</w:t>
      </w:r>
    </w:p>
    <w:p w14:paraId="1EB54331" w14:textId="77777777" w:rsidR="00D30922" w:rsidRPr="00D30922" w:rsidRDefault="00D30922" w:rsidP="00D30922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відкритості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прозорості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2ADF6B1F" w14:textId="77777777" w:rsidR="00D30922" w:rsidRPr="00D30922" w:rsidRDefault="00D30922" w:rsidP="00D30922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конфіденційності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захисту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персональних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даних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581D4034" w14:textId="77777777" w:rsidR="00D30922" w:rsidRPr="00D30922" w:rsidRDefault="00D30922" w:rsidP="00D30922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невідкладного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реагування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7534F0B7" w14:textId="77777777" w:rsidR="00D30922" w:rsidRPr="00D30922" w:rsidRDefault="00D30922" w:rsidP="00D30922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комплексного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підходу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розгляду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);</w:t>
      </w:r>
    </w:p>
    <w:p w14:paraId="0B0396EB" w14:textId="77777777" w:rsidR="00D30922" w:rsidRPr="00D30922" w:rsidRDefault="00D30922" w:rsidP="00D30922">
      <w:pPr>
        <w:numPr>
          <w:ilvl w:val="0"/>
          <w:numId w:val="9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нетерпимості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визнання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його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суспільної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небезпеки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23C1615B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своїй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діяльності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забезпечує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дотримання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вимог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Законів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"Про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інформацію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", "Про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захист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персональних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даних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".</w:t>
      </w:r>
    </w:p>
    <w:p w14:paraId="4CC0AB70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lastRenderedPageBreak/>
        <w:t xml:space="preserve">3.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завдань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належать:</w:t>
      </w:r>
    </w:p>
    <w:p w14:paraId="167DB730" w14:textId="77777777" w:rsidR="00D30922" w:rsidRPr="00D30922" w:rsidRDefault="00D30922" w:rsidP="00D30922">
      <w:pPr>
        <w:numPr>
          <w:ilvl w:val="0"/>
          <w:numId w:val="10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збір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інформації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щодо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обставин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зокрема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пояснень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сторін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батьків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законних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представників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малолітніх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неповнолітніх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сторін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);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висновків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практичного психолога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педагога (за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наявності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;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відомостей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служби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справах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дітей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центру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служб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сім'ї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дітей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молоді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;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експертних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висновків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(за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наявності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результаті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вчинення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завдана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шкода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психічному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фізичному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здоров'ю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потерпілого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;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інформації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збереженої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технічних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засобах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засобах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електронної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комунікації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Інтернет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мережі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повідомлення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тощо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);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інформації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яка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значення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об'єктивного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розгляду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заяви;</w:t>
      </w:r>
    </w:p>
    <w:p w14:paraId="6FE97B8F" w14:textId="77777777" w:rsidR="00D30922" w:rsidRPr="00D30922" w:rsidRDefault="00D30922" w:rsidP="00D30922">
      <w:pPr>
        <w:numPr>
          <w:ilvl w:val="0"/>
          <w:numId w:val="10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розгляд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аналіз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зібраних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матеріалів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щодо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обставин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прийняття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рішення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наявність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/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відсутність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обставин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обґрунтовують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інформацію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зазначену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заяві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6B3615F5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разі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прийняття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рішення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комісією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наявність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обставин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обґрунтовують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інформацію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зазначену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заяві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завдань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також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належать:</w:t>
      </w:r>
    </w:p>
    <w:p w14:paraId="14F53F55" w14:textId="77777777" w:rsidR="00D30922" w:rsidRPr="00D30922" w:rsidRDefault="00D30922" w:rsidP="00D30922">
      <w:pPr>
        <w:numPr>
          <w:ilvl w:val="0"/>
          <w:numId w:val="11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оцінка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потреб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сторін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отриманні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психолого-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педагогічних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послуг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забезпечення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таких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послуг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в тому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числі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із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залученням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фахівців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служби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справах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дітей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центру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служб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сім'ї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дітей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молоді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1F8B65F0" w14:textId="77777777" w:rsidR="00D30922" w:rsidRPr="00D30922" w:rsidRDefault="00D30922" w:rsidP="00D30922">
      <w:pPr>
        <w:numPr>
          <w:ilvl w:val="0"/>
          <w:numId w:val="11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визначення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причин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необхідних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усунення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таких причин;</w:t>
      </w:r>
    </w:p>
    <w:p w14:paraId="41D27BA8" w14:textId="77777777" w:rsidR="00D30922" w:rsidRPr="00D30922" w:rsidRDefault="00D30922" w:rsidP="00D30922">
      <w:pPr>
        <w:numPr>
          <w:ilvl w:val="0"/>
          <w:numId w:val="11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визначення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виховного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впливу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щодо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сторін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групі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класі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де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стався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випадок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);</w:t>
      </w:r>
    </w:p>
    <w:p w14:paraId="42DEC335" w14:textId="77777777" w:rsidR="00D30922" w:rsidRPr="00D30922" w:rsidRDefault="00D30922" w:rsidP="00D30922">
      <w:pPr>
        <w:numPr>
          <w:ilvl w:val="0"/>
          <w:numId w:val="11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моніторинг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ефективності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психолого-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педагогічних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послуг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усунення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причин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виховного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впливу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корегування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(за потреби)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відповідних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послуг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76F3A6A9" w14:textId="77777777" w:rsidR="00D30922" w:rsidRPr="00D30922" w:rsidRDefault="00D30922" w:rsidP="00D30922">
      <w:pPr>
        <w:numPr>
          <w:ilvl w:val="0"/>
          <w:numId w:val="11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рекомендацій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педагогічних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науково-педагогічних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працівників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щодо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доцільних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методів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здійснення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малолітніми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неповнолітніми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сторонами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їхніми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батьками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законними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представниками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7C4D9C80" w14:textId="77777777" w:rsidR="00D30922" w:rsidRPr="00D30922" w:rsidRDefault="00D30922" w:rsidP="00D30922">
      <w:pPr>
        <w:numPr>
          <w:ilvl w:val="0"/>
          <w:numId w:val="11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рекомендацій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батьків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законних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представників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малолітньої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неповнолітньої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особи, яка стала стороною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).</w:t>
      </w:r>
    </w:p>
    <w:p w14:paraId="4879C51F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4. Формою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роботи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є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проводяться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разі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потреби. Дату, час і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місце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проведення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визначає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голова.</w:t>
      </w:r>
    </w:p>
    <w:p w14:paraId="028C2263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5.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є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правоможним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разі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ньому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не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менш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як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двох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третин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складу.</w:t>
      </w:r>
    </w:p>
    <w:p w14:paraId="550FE790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6.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Секретар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не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пізніше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вісімнадцятої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години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дня,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передує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дню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повідомляє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членів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також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заявника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заінтересованих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осіб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про порядок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денний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запланованого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дату, час і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місце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його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проведення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також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надає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/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надсилає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членам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зазначеним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особам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необхідні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матеріали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електронному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паперовому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вигляді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5E33509C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7.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Рішення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питань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розглядаються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приймаються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шляхом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відкритого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голосування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більшістю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голосів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затвердженого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.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разі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рівного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розподілу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голосів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голос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голови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є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вирішальним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71A86495" w14:textId="77777777" w:rsidR="00D30922" w:rsidRPr="00D30922" w:rsidRDefault="00D30922" w:rsidP="00D309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8.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час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проведення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секретар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веде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протокол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 формою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згідно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 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fldChar w:fldCharType="begin"/>
      </w: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instrText xml:space="preserve"> HYPERLINK "https://osvita.ua/doc/files/news/709/70993/Dodatok_do_Poryadku.docx" </w:instrText>
      </w: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fldChar w:fldCharType="separate"/>
      </w:r>
      <w:r w:rsidRPr="00D30922">
        <w:rPr>
          <w:rFonts w:ascii="Arial" w:eastAsia="Times New Roman" w:hAnsi="Arial" w:cs="Arial"/>
          <w:color w:val="8C8282"/>
          <w:sz w:val="21"/>
          <w:szCs w:val="21"/>
          <w:u w:val="single"/>
          <w:bdr w:val="none" w:sz="0" w:space="0" w:color="auto" w:frame="1"/>
          <w:lang w:val="ru-UA" w:eastAsia="ru-UA"/>
        </w:rPr>
        <w:t>додатком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fldChar w:fldCharType="end"/>
      </w: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 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Порядку,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оформлюється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наказом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керівника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6427A841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9. Особи,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залучені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зобов'язані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дотримуватись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принципів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діяльності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зокрема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не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розголошувати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стороннім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особам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відомості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стали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відомі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зв'язку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участю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роботі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і не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використовувати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своїх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інтересах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інтересах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третіх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осіб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606EB6D4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Особи,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залучені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час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мають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право:</w:t>
      </w:r>
    </w:p>
    <w:p w14:paraId="1268CE77" w14:textId="77777777" w:rsidR="00D30922" w:rsidRPr="00D30922" w:rsidRDefault="00D30922" w:rsidP="00D30922">
      <w:pPr>
        <w:numPr>
          <w:ilvl w:val="0"/>
          <w:numId w:val="1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ознайомлюватися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матеріалами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поданими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розгляд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59C570D6" w14:textId="77777777" w:rsidR="00D30922" w:rsidRPr="00D30922" w:rsidRDefault="00D30922" w:rsidP="00D30922">
      <w:pPr>
        <w:numPr>
          <w:ilvl w:val="0"/>
          <w:numId w:val="1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ставити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питання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суті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розгляду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0686B822" w14:textId="77777777" w:rsidR="00D30922" w:rsidRPr="00D30922" w:rsidRDefault="00D30922" w:rsidP="00D30922">
      <w:pPr>
        <w:numPr>
          <w:ilvl w:val="0"/>
          <w:numId w:val="1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lastRenderedPageBreak/>
        <w:t>подавати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пропозиції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висловлювати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власну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думку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питань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розглядаються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7952A386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10. Голова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доводить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відома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рішення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згідно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протоколом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здійснює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контроль за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їхнім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виконанням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72584E34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11. Строк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розгляду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комісією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заяви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повідомлення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випадок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виконання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нею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своїх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завдань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не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перевищувати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десяти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робочих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днів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із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дня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отримання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заяви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повідомлення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керівником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40BD0AEA" w14:textId="77777777" w:rsidR="00D30922" w:rsidRPr="00D30922" w:rsidRDefault="00D30922" w:rsidP="00D309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V.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Запобігання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протидія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цькуванню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) в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освіти</w:t>
      </w:r>
      <w:proofErr w:type="spellEnd"/>
    </w:p>
    <w:p w14:paraId="2F588DBF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1.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Діяльність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щодо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запобігання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протидії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бути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постійним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системним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процесом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спрямованим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на:</w:t>
      </w:r>
    </w:p>
    <w:p w14:paraId="7342B0F3" w14:textId="77777777" w:rsidR="00D30922" w:rsidRPr="00D30922" w:rsidRDefault="00D30922" w:rsidP="00D30922">
      <w:pPr>
        <w:numPr>
          <w:ilvl w:val="0"/>
          <w:numId w:val="13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визначення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реалізацію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необхідних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способів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і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методів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запобігання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виникненню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 та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потенційних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ризиків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його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виникнення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608B4EF0" w14:textId="77777777" w:rsidR="00D30922" w:rsidRPr="00D30922" w:rsidRDefault="00D30922" w:rsidP="00D30922">
      <w:pPr>
        <w:numPr>
          <w:ilvl w:val="0"/>
          <w:numId w:val="13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виявлення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 та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потенційних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ризиків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його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виникнення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5B604658" w14:textId="77777777" w:rsidR="00D30922" w:rsidRPr="00D30922" w:rsidRDefault="00D30922" w:rsidP="00D30922">
      <w:pPr>
        <w:numPr>
          <w:ilvl w:val="0"/>
          <w:numId w:val="13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визначення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реалізацію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необхідних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способів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і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методів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вирішення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ситуацій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 та/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усунення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потенційних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ризиків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його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виникнення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17779329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2.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Діяльність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щодо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запобігання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протидії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ґрунтується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принципах:</w:t>
      </w:r>
    </w:p>
    <w:p w14:paraId="615542AA" w14:textId="77777777" w:rsidR="00D30922" w:rsidRPr="00D30922" w:rsidRDefault="00D30922" w:rsidP="00D30922">
      <w:pPr>
        <w:numPr>
          <w:ilvl w:val="0"/>
          <w:numId w:val="14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недискримінації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 будь-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якими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ознаками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1EEB6B7F" w14:textId="77777777" w:rsidR="00D30922" w:rsidRPr="00D30922" w:rsidRDefault="00D30922" w:rsidP="00D30922">
      <w:pPr>
        <w:numPr>
          <w:ilvl w:val="0"/>
          <w:numId w:val="14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ненасильницької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поведінки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міжособистісних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стосунках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4887A4A7" w14:textId="77777777" w:rsidR="00D30922" w:rsidRPr="00D30922" w:rsidRDefault="00D30922" w:rsidP="00D30922">
      <w:pPr>
        <w:numPr>
          <w:ilvl w:val="0"/>
          <w:numId w:val="14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партнерства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підтримки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між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педагогічним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науково-педагогічним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колективом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і батьками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законними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представниками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малолітнього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неповнолітнього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здобувача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16C47961" w14:textId="77777777" w:rsidR="00D30922" w:rsidRPr="00D30922" w:rsidRDefault="00D30922" w:rsidP="00D30922">
      <w:pPr>
        <w:numPr>
          <w:ilvl w:val="0"/>
          <w:numId w:val="14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особистісно-орієнтованого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підходу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кожної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дитини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0A71487F" w14:textId="77777777" w:rsidR="00D30922" w:rsidRPr="00D30922" w:rsidRDefault="00D30922" w:rsidP="00D30922">
      <w:pPr>
        <w:numPr>
          <w:ilvl w:val="0"/>
          <w:numId w:val="14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розвитку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емоційного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інтелекту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36F6E3D7" w14:textId="77777777" w:rsidR="00D30922" w:rsidRPr="00D30922" w:rsidRDefault="00D30922" w:rsidP="00D30922">
      <w:pPr>
        <w:numPr>
          <w:ilvl w:val="0"/>
          <w:numId w:val="14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гендерної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рівності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388F6F52" w14:textId="77777777" w:rsidR="00D30922" w:rsidRPr="00D30922" w:rsidRDefault="00D30922" w:rsidP="00D30922">
      <w:pPr>
        <w:numPr>
          <w:ilvl w:val="0"/>
          <w:numId w:val="14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прийнятті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рішень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відповідно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положень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законодавства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установчих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документів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71AE69D0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3.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Завданнями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діяльності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щодо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запобігання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протидії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є:</w:t>
      </w:r>
    </w:p>
    <w:p w14:paraId="4B1E4646" w14:textId="77777777" w:rsidR="00D30922" w:rsidRPr="00D30922" w:rsidRDefault="00D30922" w:rsidP="00D30922">
      <w:pPr>
        <w:numPr>
          <w:ilvl w:val="0"/>
          <w:numId w:val="15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створення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безпечного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середовища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включає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психологічну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фізичну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безпеку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637AD30E" w14:textId="77777777" w:rsidR="00D30922" w:rsidRPr="00D30922" w:rsidRDefault="00D30922" w:rsidP="00D30922">
      <w:pPr>
        <w:numPr>
          <w:ilvl w:val="0"/>
          <w:numId w:val="15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визначення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стану, причин і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передумов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поширення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79FFA1F0" w14:textId="77777777" w:rsidR="00D30922" w:rsidRPr="00D30922" w:rsidRDefault="00D30922" w:rsidP="00D30922">
      <w:pPr>
        <w:numPr>
          <w:ilvl w:val="0"/>
          <w:numId w:val="15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підвищення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рівня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поінформованості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);</w:t>
      </w:r>
    </w:p>
    <w:p w14:paraId="5EF47CEE" w14:textId="77777777" w:rsidR="00D30922" w:rsidRPr="00D30922" w:rsidRDefault="00D30922" w:rsidP="00D30922">
      <w:pPr>
        <w:numPr>
          <w:ilvl w:val="0"/>
          <w:numId w:val="15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формування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нетерпимого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ставлення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насильницьких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моделей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поведінки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усвідомлення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як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порушення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прав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людини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6469A354" w14:textId="77777777" w:rsidR="00D30922" w:rsidRPr="00D30922" w:rsidRDefault="00D30922" w:rsidP="00D30922">
      <w:pPr>
        <w:numPr>
          <w:ilvl w:val="0"/>
          <w:numId w:val="15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заохочення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всіх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активного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сприяння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запобіганню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).</w:t>
      </w:r>
    </w:p>
    <w:p w14:paraId="43ABCACC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4.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Діяльність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щодо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запобігання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протидії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відображається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плані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спрямованих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запобігання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протидію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далі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- План).</w:t>
      </w:r>
    </w:p>
    <w:p w14:paraId="308FC290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Розроблення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затвердження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оприлюднення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Плану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забезпечує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керівник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межах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наданих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йому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повноважень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щодо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створення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безпечного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середовища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вільного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будь-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форм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насильства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дискримінації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в тому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числі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).</w:t>
      </w:r>
    </w:p>
    <w:p w14:paraId="1627C89C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Планування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відповідних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здійснюється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 результатами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моніторингу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стану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середовища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0F47C84A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lastRenderedPageBreak/>
        <w:t>Заплановані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заходи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повинні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:</w:t>
      </w:r>
    </w:p>
    <w:p w14:paraId="4FDB7A86" w14:textId="77777777" w:rsidR="00D30922" w:rsidRPr="00D30922" w:rsidRDefault="00D30922" w:rsidP="00D30922">
      <w:pPr>
        <w:numPr>
          <w:ilvl w:val="0"/>
          <w:numId w:val="16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спрямовуватись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задоволення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потреб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окремого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створенні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безпечного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середовища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31F85700" w14:textId="77777777" w:rsidR="00D30922" w:rsidRPr="00D30922" w:rsidRDefault="00D30922" w:rsidP="00D30922">
      <w:pPr>
        <w:numPr>
          <w:ilvl w:val="0"/>
          <w:numId w:val="16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вимірювані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показники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ефективності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1F2E5931" w14:textId="77777777" w:rsidR="00D30922" w:rsidRPr="00D30922" w:rsidRDefault="00D30922" w:rsidP="00D30922">
      <w:pPr>
        <w:numPr>
          <w:ilvl w:val="0"/>
          <w:numId w:val="16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залучати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всіх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50207D7F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План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розробляється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початку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навчального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року.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Протягом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навчального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року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керівник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забезпечує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проведення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моніторингу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(за потреби, але не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рідше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одного разу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півріччя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ефективності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виконання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Плану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внесення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(за потреби)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змін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097B6308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Заплановані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заходи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можуть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відбуватись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будь-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якій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формі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: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зустрічі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бесіди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консультації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лекції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круглі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столи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тренінги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тематичні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заходи,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конкурси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спільні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перегляди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обговорення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тематичних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відеосюжетів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літературних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творів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матеріалів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ЗМІ,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особистого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досвіду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запрошення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гостей,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формі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рольових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ігор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організаційних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формах.</w:t>
      </w:r>
    </w:p>
    <w:p w14:paraId="5D92E0FA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5.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спрямованих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запобігання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протидію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належать заходи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щодо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:</w:t>
      </w:r>
    </w:p>
    <w:p w14:paraId="66CDC410" w14:textId="77777777" w:rsidR="00D30922" w:rsidRPr="00D30922" w:rsidRDefault="00D30922" w:rsidP="00D30922">
      <w:pPr>
        <w:numPr>
          <w:ilvl w:val="0"/>
          <w:numId w:val="17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організації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належних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безпеки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відповідно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законодавства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(пост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охорони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відеоспостереженням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місцями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загального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користування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тощо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);</w:t>
      </w:r>
    </w:p>
    <w:p w14:paraId="7EE79391" w14:textId="77777777" w:rsidR="00D30922" w:rsidRPr="00D30922" w:rsidRDefault="00D30922" w:rsidP="00D30922">
      <w:pPr>
        <w:numPr>
          <w:ilvl w:val="0"/>
          <w:numId w:val="17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організації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безпечного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користування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мережею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Інтернет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час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15152840" w14:textId="77777777" w:rsidR="00D30922" w:rsidRPr="00D30922" w:rsidRDefault="00D30922" w:rsidP="00D30922">
      <w:pPr>
        <w:numPr>
          <w:ilvl w:val="0"/>
          <w:numId w:val="17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контролю за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використанням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засобів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електронних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комунікацій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малолітніми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неповнолітніми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здобувачами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час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67B5DB6A" w14:textId="77777777" w:rsidR="00D30922" w:rsidRPr="00D30922" w:rsidRDefault="00D30922" w:rsidP="00D30922">
      <w:pPr>
        <w:numPr>
          <w:ilvl w:val="0"/>
          <w:numId w:val="18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розвитку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емоційного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інтелекту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зокрема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:</w:t>
      </w:r>
    </w:p>
    <w:p w14:paraId="46AF6C3E" w14:textId="77777777" w:rsidR="00D30922" w:rsidRPr="00D30922" w:rsidRDefault="00D30922" w:rsidP="00D30922">
      <w:pPr>
        <w:numPr>
          <w:ilvl w:val="0"/>
          <w:numId w:val="18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розуміння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сприйняття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цінності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прав та свобод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людини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вміння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відстоювати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свої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права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поважати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права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52D84E3B" w14:textId="77777777" w:rsidR="00D30922" w:rsidRPr="00D30922" w:rsidRDefault="00D30922" w:rsidP="00D30922">
      <w:pPr>
        <w:numPr>
          <w:ilvl w:val="0"/>
          <w:numId w:val="18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розуміння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сприйняття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принципів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рівності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недискримінації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поваги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гідності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людини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толерантності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справедливості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доброчесності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вміння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втілювати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власні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моделі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поведінки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4F3E00C1" w14:textId="77777777" w:rsidR="00D30922" w:rsidRPr="00D30922" w:rsidRDefault="00D30922" w:rsidP="00D30922">
      <w:pPr>
        <w:numPr>
          <w:ilvl w:val="0"/>
          <w:numId w:val="18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здатності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попереджувати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розв'язувати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конфлікти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ненасильницьким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шляхом;</w:t>
      </w:r>
    </w:p>
    <w:p w14:paraId="18AFC55B" w14:textId="77777777" w:rsidR="00D30922" w:rsidRPr="00D30922" w:rsidRDefault="00D30922" w:rsidP="00D30922">
      <w:pPr>
        <w:numPr>
          <w:ilvl w:val="0"/>
          <w:numId w:val="19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відповідального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ставлення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своїх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громадянських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прав і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обов'язків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пов'язаних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участю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суспільному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житті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2A32F459" w14:textId="77777777" w:rsidR="00D30922" w:rsidRPr="00D30922" w:rsidRDefault="00D30922" w:rsidP="00D30922">
      <w:pPr>
        <w:numPr>
          <w:ilvl w:val="0"/>
          <w:numId w:val="19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здатності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визначати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формулювати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аргументовано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відстоювати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власну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позицію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поважаючи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відмінні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власних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думки/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позиції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вони не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порушують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прав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гідності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осіб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7FD4CE53" w14:textId="77777777" w:rsidR="00D30922" w:rsidRPr="00D30922" w:rsidRDefault="00D30922" w:rsidP="00D30922">
      <w:pPr>
        <w:numPr>
          <w:ilvl w:val="0"/>
          <w:numId w:val="19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здатності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критично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аналізувати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інформацію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розглядати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питання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різних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позицій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приймати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обґрунтовані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рішення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21FC37BF" w14:textId="77777777" w:rsidR="00D30922" w:rsidRPr="00D30922" w:rsidRDefault="00D30922" w:rsidP="00D30922">
      <w:pPr>
        <w:numPr>
          <w:ilvl w:val="0"/>
          <w:numId w:val="19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здатності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комунікації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вміння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співпрацювати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розв'язання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різних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суспільних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проблем,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зокрема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шляхом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волонтерської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діяльності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тощо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63F35BF2" w14:textId="77777777" w:rsidR="00D30922" w:rsidRPr="00D30922" w:rsidRDefault="00D30922" w:rsidP="00D30922">
      <w:pPr>
        <w:numPr>
          <w:ilvl w:val="0"/>
          <w:numId w:val="19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підвищення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рівня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обізнаності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його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причини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наслідки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порядок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реагування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тощо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0A1B50A6" w14:textId="77777777" w:rsidR="00D30922" w:rsidRPr="00D30922" w:rsidRDefault="00D30922" w:rsidP="00D30922">
      <w:pPr>
        <w:numPr>
          <w:ilvl w:val="0"/>
          <w:numId w:val="19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створення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культури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ґрунтується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нетерпимості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будь-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форм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насильства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дискримінації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в тому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числі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).</w:t>
      </w:r>
    </w:p>
    <w:p w14:paraId="54F19BD6" w14:textId="77777777" w:rsidR="00D30922" w:rsidRPr="00D30922" w:rsidRDefault="00D30922" w:rsidP="00D309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Генеральний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директор директорату</w:t>
      </w: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br/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інклюзивної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позашкільної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                  В.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Хіврич</w:t>
      </w:r>
      <w:proofErr w:type="spellEnd"/>
    </w:p>
    <w:p w14:paraId="53F44F09" w14:textId="77777777" w:rsidR="00D30922" w:rsidRPr="00D30922" w:rsidRDefault="00D30922" w:rsidP="00D3092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ЗАТВЕРДЖЕНО</w:t>
      </w: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br/>
        <w:t xml:space="preserve">Наказ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Міністерства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і науки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br/>
        <w:t xml:space="preserve">28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грудня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2019 року № 1646</w:t>
      </w:r>
    </w:p>
    <w:p w14:paraId="5E88F47E" w14:textId="77777777" w:rsidR="00D30922" w:rsidRPr="00D30922" w:rsidRDefault="00D30922" w:rsidP="00D3092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Зареєстровано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br/>
        <w:t xml:space="preserve">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Міністерстві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юстиції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br/>
        <w:t>03 лютого 2020 р. за № 112/34395</w:t>
      </w:r>
    </w:p>
    <w:p w14:paraId="47187903" w14:textId="77777777" w:rsidR="00D30922" w:rsidRPr="00D30922" w:rsidRDefault="00D30922" w:rsidP="00D309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lastRenderedPageBreak/>
        <w:t>ПОРЯДОК</w:t>
      </w:r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br/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застосування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виховного</w:t>
      </w:r>
      <w:proofErr w:type="spellEnd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val="ru-UA" w:eastAsia="ru-UA"/>
        </w:rPr>
        <w:t>впливу</w:t>
      </w:r>
      <w:proofErr w:type="spellEnd"/>
    </w:p>
    <w:p w14:paraId="10E74FDE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1.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Порядок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визначає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процедуру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застосування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виховного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впливу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закладах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всіх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типів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і форм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власності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крім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тих,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забезпечують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здобуття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дорослих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у тому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числі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післядипломної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14EFC115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2. Заходи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виховного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впливу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- заходи,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застосовуються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час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щодо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сторін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забезпечують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корекцію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їхньої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поведінки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зокрема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виправлення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деструктивних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реакцій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способів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поведінки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міжособистісних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стосунках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4CCEF667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3. Заходи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виховного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впливу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сторін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застосовуються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метою:</w:t>
      </w:r>
    </w:p>
    <w:p w14:paraId="3ACFBAF7" w14:textId="77777777" w:rsidR="00D30922" w:rsidRPr="00D30922" w:rsidRDefault="00D30922" w:rsidP="00D30922">
      <w:pPr>
        <w:numPr>
          <w:ilvl w:val="0"/>
          <w:numId w:val="20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відновлення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нормалізації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відносин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між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сторонами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після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відповідного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4E445EA3" w14:textId="77777777" w:rsidR="00D30922" w:rsidRPr="00D30922" w:rsidRDefault="00D30922" w:rsidP="00D30922">
      <w:pPr>
        <w:numPr>
          <w:ilvl w:val="0"/>
          <w:numId w:val="20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недопущення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повторення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між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сторонами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);</w:t>
      </w:r>
    </w:p>
    <w:p w14:paraId="2FEF62F1" w14:textId="77777777" w:rsidR="00D30922" w:rsidRPr="00D30922" w:rsidRDefault="00D30922" w:rsidP="00D30922">
      <w:pPr>
        <w:numPr>
          <w:ilvl w:val="0"/>
          <w:numId w:val="20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загальної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превенції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0DB37538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4.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Необхідні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заходи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виховного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впливу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сторін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визначає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розгляду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зокрема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:</w:t>
      </w:r>
    </w:p>
    <w:p w14:paraId="38A4ABA1" w14:textId="77777777" w:rsidR="00D30922" w:rsidRPr="00D30922" w:rsidRDefault="00D30922" w:rsidP="00D30922">
      <w:pPr>
        <w:numPr>
          <w:ilvl w:val="0"/>
          <w:numId w:val="21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мету,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конкретні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завдання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зміст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методи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форми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виховного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впливу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20590181" w14:textId="77777777" w:rsidR="00D30922" w:rsidRPr="00D30922" w:rsidRDefault="00D30922" w:rsidP="00D30922">
      <w:pPr>
        <w:numPr>
          <w:ilvl w:val="0"/>
          <w:numId w:val="21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критерії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визначення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співвідношення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між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запланованими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отриманими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результатами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виховного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впливу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119B6651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Моніторинг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ефективності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застосування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виховного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впливу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до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сторін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необхідність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коригування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визначає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комісія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розгляду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черговому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засіданні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11B0EA99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5. Заходи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виховного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впливу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реалізуються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педагогічними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науково-педагогічними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працівниками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фахівцями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служби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справах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дітей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центру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служб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сім'ї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дітей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молоді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із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залученням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необхідних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фахівців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із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надання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правової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психологічної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допомоги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в тому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числі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територіальних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органів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підрозділів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Національної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поліції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України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суб'єктів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реагування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).</w:t>
      </w:r>
    </w:p>
    <w:p w14:paraId="4B24B9C3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Суб'єкти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реагування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на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в закладах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під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час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реалізації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виховного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впливу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діють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в межах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повноважень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передбачених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законодавством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цим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Порядком.</w:t>
      </w:r>
    </w:p>
    <w:p w14:paraId="5AF740EF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6.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Психологічний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соціально-педагогічний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супровід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застосування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виховного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впливу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групі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класі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якій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якому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стався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випадок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здійснюють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межах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своїх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посадових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обов'язків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практичний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психолог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соціальний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педагог (за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наявності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закладу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зокрема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:</w:t>
      </w:r>
    </w:p>
    <w:p w14:paraId="5A82FB85" w14:textId="77777777" w:rsidR="00D30922" w:rsidRPr="00D30922" w:rsidRDefault="00D30922" w:rsidP="00D30922">
      <w:pPr>
        <w:numPr>
          <w:ilvl w:val="0"/>
          <w:numId w:val="2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діагностику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рівня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психологічної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безпеки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аналіз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динаміки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6DF81054" w14:textId="77777777" w:rsidR="00D30922" w:rsidRPr="00D30922" w:rsidRDefault="00D30922" w:rsidP="00D30922">
      <w:pPr>
        <w:numPr>
          <w:ilvl w:val="0"/>
          <w:numId w:val="2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розробку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програми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реабілітації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потерпілого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жертви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реалізацію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із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залученням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батьків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законних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представників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малолітньої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неповнолітньої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особи;</w:t>
      </w:r>
    </w:p>
    <w:p w14:paraId="60975FBF" w14:textId="77777777" w:rsidR="00D30922" w:rsidRPr="00D30922" w:rsidRDefault="00D30922" w:rsidP="00D30922">
      <w:pPr>
        <w:numPr>
          <w:ilvl w:val="0"/>
          <w:numId w:val="2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розробку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корекційної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програми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кривдника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булера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її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реалізацію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із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залученням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батьків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інших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законних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представників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малолітньої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або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неповнолітньої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особи;</w:t>
      </w:r>
    </w:p>
    <w:p w14:paraId="2A411EB2" w14:textId="77777777" w:rsidR="00D30922" w:rsidRPr="00D30922" w:rsidRDefault="00D30922" w:rsidP="00D30922">
      <w:pPr>
        <w:numPr>
          <w:ilvl w:val="0"/>
          <w:numId w:val="2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консультативну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допомогу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всім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учасникам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освітнього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процесу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;</w:t>
      </w:r>
    </w:p>
    <w:p w14:paraId="1F435341" w14:textId="77777777" w:rsidR="00D30922" w:rsidRPr="00D30922" w:rsidRDefault="00D30922" w:rsidP="00D30922">
      <w:pPr>
        <w:numPr>
          <w:ilvl w:val="0"/>
          <w:numId w:val="22"/>
        </w:numPr>
        <w:shd w:val="clear" w:color="auto" w:fill="FFFFFF"/>
        <w:spacing w:before="30" w:after="15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розробку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профілактичних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74DDAE1D" w14:textId="77777777" w:rsidR="00D30922" w:rsidRPr="00D30922" w:rsidRDefault="00D30922" w:rsidP="00D30922">
      <w:pPr>
        <w:shd w:val="clear" w:color="auto" w:fill="FFFFFF"/>
        <w:spacing w:after="21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разі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відсутності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практичного психолога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педагога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закладі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супровід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застосування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заходів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виховного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впливу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групі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класі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в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якій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якому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стався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випадок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булінгу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(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цькування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),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здійснюють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працівники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служби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у справах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дітей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центру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соціальних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служб для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сім'ї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,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дітей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молоді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.</w:t>
      </w:r>
    </w:p>
    <w:p w14:paraId="776D9601" w14:textId="77777777" w:rsidR="00D30922" w:rsidRPr="00D30922" w:rsidRDefault="00D30922" w:rsidP="00D309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</w:pP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Генеральний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директор директорату</w:t>
      </w:r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br/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інклюзивної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та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позашкільної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освіти</w:t>
      </w:r>
      <w:proofErr w:type="spellEnd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 xml:space="preserve">                           В. </w:t>
      </w:r>
      <w:proofErr w:type="spellStart"/>
      <w:r w:rsidRPr="00D30922">
        <w:rPr>
          <w:rFonts w:ascii="Arial" w:eastAsia="Times New Roman" w:hAnsi="Arial" w:cs="Arial"/>
          <w:color w:val="000000"/>
          <w:sz w:val="21"/>
          <w:szCs w:val="21"/>
          <w:lang w:val="ru-UA" w:eastAsia="ru-UA"/>
        </w:rPr>
        <w:t>Хіврич</w:t>
      </w:r>
      <w:proofErr w:type="spellEnd"/>
    </w:p>
    <w:sectPr w:rsidR="00D30922" w:rsidRPr="00D30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66ACC"/>
    <w:multiLevelType w:val="multilevel"/>
    <w:tmpl w:val="DBA8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15E6D"/>
    <w:multiLevelType w:val="multilevel"/>
    <w:tmpl w:val="8DA6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10530"/>
    <w:multiLevelType w:val="multilevel"/>
    <w:tmpl w:val="7E46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B24E61"/>
    <w:multiLevelType w:val="multilevel"/>
    <w:tmpl w:val="341A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623FE"/>
    <w:multiLevelType w:val="multilevel"/>
    <w:tmpl w:val="1FEE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271D41"/>
    <w:multiLevelType w:val="multilevel"/>
    <w:tmpl w:val="FDB6F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00C26"/>
    <w:multiLevelType w:val="multilevel"/>
    <w:tmpl w:val="958E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66484D"/>
    <w:multiLevelType w:val="multilevel"/>
    <w:tmpl w:val="E584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9566EA"/>
    <w:multiLevelType w:val="multilevel"/>
    <w:tmpl w:val="DC10F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F053B6"/>
    <w:multiLevelType w:val="multilevel"/>
    <w:tmpl w:val="51F0D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7D4886"/>
    <w:multiLevelType w:val="multilevel"/>
    <w:tmpl w:val="011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6B72A3"/>
    <w:multiLevelType w:val="multilevel"/>
    <w:tmpl w:val="3290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5F6B10"/>
    <w:multiLevelType w:val="multilevel"/>
    <w:tmpl w:val="31BA2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17902"/>
    <w:multiLevelType w:val="multilevel"/>
    <w:tmpl w:val="499E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1E061B"/>
    <w:multiLevelType w:val="multilevel"/>
    <w:tmpl w:val="C73E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E55A2C"/>
    <w:multiLevelType w:val="multilevel"/>
    <w:tmpl w:val="1C3A2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EF2055"/>
    <w:multiLevelType w:val="multilevel"/>
    <w:tmpl w:val="1C08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933B92"/>
    <w:multiLevelType w:val="multilevel"/>
    <w:tmpl w:val="2F4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A67082"/>
    <w:multiLevelType w:val="multilevel"/>
    <w:tmpl w:val="EA18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F93FB7"/>
    <w:multiLevelType w:val="multilevel"/>
    <w:tmpl w:val="0244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7F5C45"/>
    <w:multiLevelType w:val="multilevel"/>
    <w:tmpl w:val="28DC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7701AE"/>
    <w:multiLevelType w:val="multilevel"/>
    <w:tmpl w:val="6312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9"/>
  </w:num>
  <w:num w:numId="4">
    <w:abstractNumId w:val="12"/>
  </w:num>
  <w:num w:numId="5">
    <w:abstractNumId w:val="10"/>
  </w:num>
  <w:num w:numId="6">
    <w:abstractNumId w:val="16"/>
  </w:num>
  <w:num w:numId="7">
    <w:abstractNumId w:val="18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  <w:num w:numId="12">
    <w:abstractNumId w:val="17"/>
  </w:num>
  <w:num w:numId="13">
    <w:abstractNumId w:val="21"/>
  </w:num>
  <w:num w:numId="14">
    <w:abstractNumId w:val="5"/>
  </w:num>
  <w:num w:numId="15">
    <w:abstractNumId w:val="9"/>
  </w:num>
  <w:num w:numId="16">
    <w:abstractNumId w:val="8"/>
  </w:num>
  <w:num w:numId="17">
    <w:abstractNumId w:val="1"/>
  </w:num>
  <w:num w:numId="18">
    <w:abstractNumId w:val="20"/>
  </w:num>
  <w:num w:numId="19">
    <w:abstractNumId w:val="14"/>
  </w:num>
  <w:num w:numId="20">
    <w:abstractNumId w:val="4"/>
  </w:num>
  <w:num w:numId="21">
    <w:abstractNumId w:val="15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6C"/>
    <w:rsid w:val="00AA3EF6"/>
    <w:rsid w:val="00B1116C"/>
    <w:rsid w:val="00D3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50C2"/>
  <w15:chartTrackingRefBased/>
  <w15:docId w15:val="{3238DABA-F1BF-48D2-BCD1-4DD7FCA7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0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styleId="a4">
    <w:name w:val="Strong"/>
    <w:basedOn w:val="a0"/>
    <w:uiPriority w:val="22"/>
    <w:qFormat/>
    <w:rsid w:val="00D30922"/>
    <w:rPr>
      <w:b/>
      <w:bCs/>
    </w:rPr>
  </w:style>
  <w:style w:type="character" w:styleId="a5">
    <w:name w:val="Hyperlink"/>
    <w:basedOn w:val="a0"/>
    <w:uiPriority w:val="99"/>
    <w:semiHidden/>
    <w:unhideWhenUsed/>
    <w:rsid w:val="00D30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69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75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9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vita.ua/legislation/law/223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vita.ua/legislation/other/52125/" TargetMode="External"/><Relationship Id="rId5" Type="http://schemas.openxmlformats.org/officeDocument/2006/relationships/hyperlink" Target="https://osvita.ua/legislation/law/223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3878</Words>
  <Characters>22110</Characters>
  <Application>Microsoft Office Word</Application>
  <DocSecurity>0</DocSecurity>
  <Lines>184</Lines>
  <Paragraphs>51</Paragraphs>
  <ScaleCrop>false</ScaleCrop>
  <Company/>
  <LinksUpToDate>false</LinksUpToDate>
  <CharactersWithSpaces>25937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oksana_levak@outlook.com</dc:creator>
  <cp:keywords/>
  <dc:description/>
  <cp:lastModifiedBy>oksana_levak@outlook.com</cp:lastModifiedBy>
  <cp:revision>2</cp:revision>
  <dcterms:created xsi:type="dcterms:W3CDTF">2020-09-17T06:39:00Z</dcterms:created>
  <dcterms:modified xsi:type="dcterms:W3CDTF">2020-09-17T06:39:00Z</dcterms:modified>
</cp:coreProperties>
</file>